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747E1AA2" w:rsidR="000A4B61" w:rsidRPr="00982A60" w:rsidRDefault="000A4B61" w:rsidP="00B93FE4">
      <w:pPr>
        <w:pStyle w:val="CRCoverPage"/>
        <w:tabs>
          <w:tab w:val="right" w:pos="9639"/>
        </w:tabs>
        <w:spacing w:after="0"/>
        <w:rPr>
          <w:b/>
          <w:sz w:val="24"/>
        </w:rPr>
      </w:pPr>
      <w:r w:rsidRPr="00E30475">
        <w:rPr>
          <w:b/>
          <w:sz w:val="24"/>
        </w:rPr>
        <w:t>3GPP TSG-RAN WG2 Meeting #1</w:t>
      </w:r>
      <w:r w:rsidR="00500D3F" w:rsidRPr="00E30475">
        <w:rPr>
          <w:b/>
          <w:sz w:val="24"/>
        </w:rPr>
        <w:t>2</w:t>
      </w:r>
      <w:r w:rsidR="00DF6612">
        <w:rPr>
          <w:b/>
          <w:sz w:val="24"/>
        </w:rPr>
        <w:t>9</w:t>
      </w:r>
      <w:r w:rsidRPr="00982A60">
        <w:rPr>
          <w:b/>
          <w:sz w:val="24"/>
        </w:rPr>
        <w:tab/>
      </w:r>
      <w:bookmarkStart w:id="0" w:name="_GoBack"/>
      <w:r w:rsidR="001A18D8" w:rsidRPr="001A18D8">
        <w:rPr>
          <w:b/>
          <w:i/>
          <w:sz w:val="24"/>
        </w:rPr>
        <w:t>R2-2500690</w:t>
      </w:r>
      <w:bookmarkEnd w:id="0"/>
    </w:p>
    <w:p w14:paraId="4826E75F" w14:textId="23ED0BDA" w:rsidR="00AF4438" w:rsidRDefault="00DF6612" w:rsidP="00B93FE4">
      <w:pPr>
        <w:tabs>
          <w:tab w:val="left" w:pos="1985"/>
          <w:tab w:val="right" w:pos="9639"/>
        </w:tabs>
        <w:spacing w:after="180"/>
        <w:jc w:val="both"/>
        <w:rPr>
          <w:rFonts w:ascii="Arial" w:eastAsia="宋体" w:hAnsi="Arial" w:cs="Arial"/>
          <w:b/>
          <w:noProof/>
          <w:sz w:val="22"/>
          <w:szCs w:val="22"/>
        </w:rPr>
      </w:pPr>
      <w:r>
        <w:rPr>
          <w:rFonts w:ascii="Arial" w:eastAsia="宋体" w:hAnsi="Arial" w:cs="Arial"/>
          <w:b/>
          <w:noProof/>
          <w:sz w:val="24"/>
          <w:lang w:eastAsia="zh-CN"/>
        </w:rPr>
        <w:t>Athens, Greece</w:t>
      </w:r>
      <w:r w:rsidR="00AF4438" w:rsidRPr="0076697B">
        <w:rPr>
          <w:rFonts w:ascii="Arial" w:eastAsia="宋体" w:hAnsi="Arial" w:cs="Arial"/>
          <w:b/>
          <w:noProof/>
          <w:sz w:val="24"/>
          <w:lang w:eastAsia="zh-CN"/>
        </w:rPr>
        <w:t xml:space="preserve">, </w:t>
      </w:r>
      <w:r>
        <w:rPr>
          <w:rFonts w:ascii="Arial" w:eastAsia="宋体" w:hAnsi="Arial" w:cs="Arial"/>
          <w:b/>
          <w:noProof/>
          <w:sz w:val="24"/>
          <w:lang w:eastAsia="zh-CN"/>
        </w:rPr>
        <w:t>17 – 21</w:t>
      </w:r>
      <w:r w:rsidR="00AF4438">
        <w:rPr>
          <w:rFonts w:ascii="Arial" w:eastAsia="宋体" w:hAnsi="Arial" w:cs="Arial"/>
          <w:b/>
          <w:noProof/>
          <w:sz w:val="24"/>
          <w:lang w:eastAsia="zh-CN"/>
        </w:rPr>
        <w:t xml:space="preserve"> </w:t>
      </w:r>
      <w:r>
        <w:rPr>
          <w:rFonts w:ascii="Arial" w:eastAsia="宋体" w:hAnsi="Arial" w:cs="Arial"/>
          <w:b/>
          <w:noProof/>
          <w:sz w:val="24"/>
          <w:lang w:eastAsia="zh-CN"/>
        </w:rPr>
        <w:t>Feb, 2025</w:t>
      </w:r>
    </w:p>
    <w:p w14:paraId="178714C3" w14:textId="1DD9CACB" w:rsidR="00AF4438" w:rsidRDefault="00AF4438" w:rsidP="00B93FE4">
      <w:pPr>
        <w:tabs>
          <w:tab w:val="left" w:pos="1985"/>
        </w:tabs>
        <w:spacing w:after="180"/>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2057D3">
        <w:rPr>
          <w:rFonts w:ascii="Arial" w:eastAsia="宋体" w:hAnsi="Arial" w:cs="Arial"/>
          <w:sz w:val="22"/>
          <w:lang w:eastAsia="zh-CN"/>
        </w:rPr>
        <w:t>, Turkcell</w:t>
      </w:r>
    </w:p>
    <w:p w14:paraId="343429DF" w14:textId="0CFEE297" w:rsidR="00AF4438" w:rsidRDefault="00AF4438" w:rsidP="00B93FE4">
      <w:pPr>
        <w:spacing w:after="180"/>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AF4438">
        <w:rPr>
          <w:rFonts w:ascii="Arial" w:hAnsi="Arial" w:cs="Arial"/>
          <w:sz w:val="22"/>
        </w:rPr>
        <w:t>Discussion on Uplink Capacity Enhancements</w:t>
      </w:r>
    </w:p>
    <w:p w14:paraId="50373038" w14:textId="38D0796C" w:rsidR="00AF4438" w:rsidRDefault="00AF4438" w:rsidP="00B93FE4">
      <w:pPr>
        <w:tabs>
          <w:tab w:val="left" w:pos="1985"/>
        </w:tabs>
        <w:spacing w:after="180"/>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AF4438">
        <w:rPr>
          <w:rFonts w:ascii="Arial" w:hAnsi="Arial" w:cs="Arial"/>
          <w:sz w:val="22"/>
        </w:rPr>
        <w:t>8.8.3</w:t>
      </w:r>
    </w:p>
    <w:p w14:paraId="7041B6DF" w14:textId="77777777" w:rsidR="00AF4438" w:rsidRDefault="00AF4438" w:rsidP="00B93FE4">
      <w:pPr>
        <w:tabs>
          <w:tab w:val="left" w:pos="1985"/>
        </w:tabs>
        <w:spacing w:after="180"/>
        <w:jc w:val="both"/>
        <w:rPr>
          <w:rFonts w:ascii="Arial" w:eastAsia="宋体" w:hAnsi="Arial" w:cs="Arial"/>
          <w:sz w:val="22"/>
          <w:lang w:eastAsia="zh-CN"/>
        </w:rPr>
      </w:pPr>
      <w:r>
        <w:rPr>
          <w:rFonts w:ascii="Arial" w:hAnsi="Arial" w:cs="Arial"/>
          <w:b/>
          <w:sz w:val="22"/>
        </w:rPr>
        <w:t>Document for:</w:t>
      </w:r>
      <w:r>
        <w:rPr>
          <w:rFonts w:ascii="Arial" w:hAnsi="Arial" w:cs="Arial"/>
          <w:sz w:val="22"/>
        </w:rPr>
        <w:tab/>
      </w:r>
      <w:r>
        <w:rPr>
          <w:rFonts w:ascii="Arial" w:eastAsia="宋体" w:hAnsi="Arial" w:cs="Arial"/>
          <w:sz w:val="22"/>
          <w:lang w:eastAsia="zh-CN"/>
        </w:rPr>
        <w:t>Discussion and decision</w:t>
      </w:r>
    </w:p>
    <w:p w14:paraId="102DEFE8" w14:textId="6C2D324D" w:rsidR="00D92FCA" w:rsidRPr="00D92FCA" w:rsidRDefault="00D92FCA" w:rsidP="00AF4438">
      <w:pPr>
        <w:pStyle w:val="1"/>
        <w:tabs>
          <w:tab w:val="num" w:pos="397"/>
        </w:tabs>
        <w:spacing w:before="0"/>
        <w:ind w:left="533" w:hanging="533"/>
        <w:jc w:val="both"/>
        <w:rPr>
          <w:lang w:eastAsia="de-DE"/>
        </w:rPr>
      </w:pPr>
      <w:r>
        <w:rPr>
          <w:lang w:eastAsia="de-DE"/>
        </w:rPr>
        <w:t>1</w:t>
      </w:r>
      <w:r w:rsidRPr="00D92FCA">
        <w:rPr>
          <w:lang w:eastAsia="de-DE"/>
        </w:rPr>
        <w:tab/>
      </w:r>
      <w:r>
        <w:rPr>
          <w:lang w:eastAsia="de-DE"/>
        </w:rPr>
        <w:t>Introduction</w:t>
      </w:r>
    </w:p>
    <w:p w14:paraId="178A2EF2" w14:textId="73DA7EE3" w:rsidR="00F541BA" w:rsidRDefault="00B60022" w:rsidP="00716422">
      <w:pPr>
        <w:spacing w:after="180"/>
      </w:pPr>
      <w:bookmarkStart w:id="1" w:name="_Toc499559238"/>
      <w:bookmarkStart w:id="2" w:name="_Toc61387172"/>
      <w:bookmarkStart w:id="3" w:name="_Toc147158671"/>
      <w:r>
        <w:t xml:space="preserve">The NR NTN WID includes the uplink capacity enhancement as follows </w:t>
      </w:r>
      <w:r w:rsidR="00A6704E">
        <w:t>[1]</w:t>
      </w:r>
      <w:r w:rsidR="00191DA1">
        <w:fldChar w:fldCharType="begin"/>
      </w:r>
      <w:r w:rsidR="00191DA1">
        <w:instrText xml:space="preserve"> REF _Ref173428202 \r \h </w:instrText>
      </w:r>
      <w:r w:rsidR="00191DA1">
        <w:fldChar w:fldCharType="end"/>
      </w:r>
      <w:r w:rsidR="00F541BA">
        <w:t xml:space="preserve">. </w:t>
      </w:r>
    </w:p>
    <w:tbl>
      <w:tblPr>
        <w:tblStyle w:val="aff"/>
        <w:tblW w:w="0" w:type="auto"/>
        <w:tblLook w:val="04A0" w:firstRow="1" w:lastRow="0" w:firstColumn="1" w:lastColumn="0" w:noHBand="0" w:noVBand="1"/>
      </w:tblPr>
      <w:tblGrid>
        <w:gridCol w:w="9629"/>
      </w:tblGrid>
      <w:tr w:rsidR="001F64D7" w14:paraId="0E395C12" w14:textId="77777777" w:rsidTr="001F64D7">
        <w:tc>
          <w:tcPr>
            <w:tcW w:w="9629" w:type="dxa"/>
          </w:tcPr>
          <w:p w14:paraId="668E6F8A" w14:textId="77777777" w:rsidR="001F64D7" w:rsidRPr="001F64D7" w:rsidRDefault="001F64D7" w:rsidP="00117EAB">
            <w:pPr>
              <w:numPr>
                <w:ilvl w:val="0"/>
                <w:numId w:val="20"/>
              </w:numPr>
              <w:spacing w:line="276" w:lineRule="auto"/>
              <w:rPr>
                <w:rFonts w:eastAsia="Calibri"/>
                <w:lang w:val="en-US" w:eastAsia="ko-KR"/>
              </w:rPr>
            </w:pPr>
            <w:r w:rsidRPr="001F64D7">
              <w:rPr>
                <w:lang w:val="en-US" w:eastAsia="ko-KR"/>
              </w:rPr>
              <w:t>Uplink Capacity/Cell Throughput Enhancement for FR1-NTN [RAN1, RAN2, RAN4]</w:t>
            </w:r>
          </w:p>
          <w:p w14:paraId="0159FD4B" w14:textId="77777777" w:rsidR="001F64D7" w:rsidRPr="001F64D7" w:rsidRDefault="001F64D7" w:rsidP="00117EAB">
            <w:pPr>
              <w:widowControl w:val="0"/>
              <w:numPr>
                <w:ilvl w:val="0"/>
                <w:numId w:val="21"/>
              </w:numPr>
              <w:spacing w:line="276" w:lineRule="auto"/>
              <w:contextualSpacing/>
              <w:jc w:val="both"/>
              <w:rPr>
                <w:rFonts w:cs="Calibri"/>
                <w:lang w:val="en-US" w:eastAsia="zh-CN"/>
              </w:rPr>
            </w:pPr>
            <w:r w:rsidRPr="001F64D7">
              <w:rPr>
                <w:rFonts w:eastAsia="Calibri" w:cs="Calibri"/>
                <w:lang w:val="en-US" w:eastAsia="zh-CN"/>
              </w:rPr>
              <w:t xml:space="preserve">Specify Orthogonal Cover Codes (OCC) for DFT-s-OFDM PUSCH at least for multiplexing 2 or 4 UEs when PUSCH repetitions are used </w:t>
            </w:r>
          </w:p>
          <w:p w14:paraId="7456D8E5"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 xml:space="preserve">Specify necessary </w:t>
            </w:r>
            <w:proofErr w:type="spellStart"/>
            <w:r w:rsidRPr="001F64D7">
              <w:rPr>
                <w:rFonts w:eastAsia="Calibri" w:cs="Calibri"/>
                <w:lang w:val="en-US" w:eastAsia="zh-CN"/>
              </w:rPr>
              <w:t>signalling</w:t>
            </w:r>
            <w:proofErr w:type="spellEnd"/>
            <w:r w:rsidRPr="001F64D7">
              <w:rPr>
                <w:rFonts w:eastAsia="Calibri" w:cs="Calibri"/>
                <w:lang w:val="en-US" w:eastAsia="zh-CN"/>
              </w:rPr>
              <w:t xml:space="preserve"> </w:t>
            </w:r>
          </w:p>
          <w:p w14:paraId="42CBC14E"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Update RF requirements accordingly, if needed</w:t>
            </w:r>
          </w:p>
          <w:p w14:paraId="1DC392F2" w14:textId="77777777" w:rsidR="001F64D7" w:rsidRPr="001F64D7" w:rsidRDefault="001F64D7" w:rsidP="00117EAB">
            <w:pPr>
              <w:widowControl w:val="0"/>
              <w:numPr>
                <w:ilvl w:val="0"/>
                <w:numId w:val="21"/>
              </w:numPr>
              <w:spacing w:line="276" w:lineRule="auto"/>
              <w:contextualSpacing/>
              <w:jc w:val="both"/>
              <w:rPr>
                <w:rFonts w:eastAsia="Calibri" w:cs="Calibri"/>
                <w:lang w:val="en-US" w:eastAsia="zh-CN"/>
              </w:rPr>
            </w:pPr>
            <w:r w:rsidRPr="001F64D7">
              <w:rPr>
                <w:rFonts w:eastAsia="Calibri" w:cs="Calibri"/>
                <w:lang w:val="en-US" w:eastAsia="zh-CN"/>
              </w:rPr>
              <w:t>Notes for this objective:</w:t>
            </w:r>
          </w:p>
          <w:p w14:paraId="72E91DE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targeting improvements/impacts of MU-MIMO capability</w:t>
            </w:r>
          </w:p>
          <w:p w14:paraId="742E59B9"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targeted to PUSCH DMRS</w:t>
            </w:r>
          </w:p>
          <w:p w14:paraId="313510C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No enhancement for initial access</w:t>
            </w:r>
          </w:p>
          <w:p w14:paraId="5BD29FC0"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Enhancements to PRACH are not in scope.</w:t>
            </w:r>
          </w:p>
          <w:p w14:paraId="7AE3BF93" w14:textId="34BED2EA"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This feature may be applicable for UEs operating in terrestrial networks based on a common design</w:t>
            </w:r>
          </w:p>
        </w:tc>
      </w:tr>
    </w:tbl>
    <w:p w14:paraId="1ACAE038" w14:textId="129502AE" w:rsidR="00176F02" w:rsidRDefault="00B60022" w:rsidP="00716422">
      <w:pPr>
        <w:spacing w:before="180" w:after="180"/>
      </w:pPr>
      <w:r>
        <w:t xml:space="preserve">RAN1 discussed this objective for several meetings. </w:t>
      </w:r>
      <w:r w:rsidR="00176F02">
        <w:t xml:space="preserve">In RAN1#119, RAN1 agreed to support inter-slot OCC for length 2 and length 4 [2]. </w:t>
      </w:r>
    </w:p>
    <w:tbl>
      <w:tblPr>
        <w:tblStyle w:val="aff"/>
        <w:tblW w:w="0" w:type="auto"/>
        <w:tblLook w:val="04A0" w:firstRow="1" w:lastRow="0" w:firstColumn="1" w:lastColumn="0" w:noHBand="0" w:noVBand="1"/>
      </w:tblPr>
      <w:tblGrid>
        <w:gridCol w:w="9629"/>
      </w:tblGrid>
      <w:tr w:rsidR="00E410C0" w14:paraId="4F050ABE" w14:textId="77777777" w:rsidTr="00E410C0">
        <w:tc>
          <w:tcPr>
            <w:tcW w:w="9629" w:type="dxa"/>
          </w:tcPr>
          <w:p w14:paraId="0DEC4986" w14:textId="77777777" w:rsidR="00176F02" w:rsidRPr="00E069E4" w:rsidRDefault="00176F02" w:rsidP="00176F02">
            <w:pPr>
              <w:rPr>
                <w:rFonts w:cs="Times"/>
                <w:color w:val="000000"/>
                <w:kern w:val="24"/>
              </w:rPr>
            </w:pPr>
            <w:r w:rsidRPr="00E069E4">
              <w:rPr>
                <w:rFonts w:cs="Times"/>
                <w:highlight w:val="green"/>
              </w:rPr>
              <w:t>Agreement</w:t>
            </w:r>
          </w:p>
          <w:p w14:paraId="3CCD5134" w14:textId="77777777" w:rsidR="00176F02" w:rsidRPr="00E069E4" w:rsidRDefault="00176F02" w:rsidP="00176F02">
            <w:pPr>
              <w:rPr>
                <w:rFonts w:eastAsia="等线" w:cs="Times"/>
              </w:rPr>
            </w:pPr>
            <w:r w:rsidRPr="00E069E4">
              <w:rPr>
                <w:rFonts w:cs="Times"/>
              </w:rPr>
              <w:t>RAN1 to confirm the working assumption of RAN1#118bis with revisions as follows:</w:t>
            </w:r>
          </w:p>
          <w:p w14:paraId="2BB10239"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OCC length 2 with inter-slot OCC to multiplex up to 2 UEs.</w:t>
            </w:r>
          </w:p>
          <w:p w14:paraId="40AEFF60"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Option 1: inter-slot OCC with OCC length 4 to multiplex up to 4 UEs using Hadamard sequences</w:t>
            </w:r>
          </w:p>
          <w:p w14:paraId="1487E855"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2: Intra-symbol pre-DFT OCC with OCC length 4 to multiplex up to 4 UEs.</w:t>
            </w:r>
          </w:p>
          <w:p w14:paraId="3CE8D248"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3: Combination of Inter-slot OCC with OCC length 2 and intra-symbol pre-DFT OCC with OCC length 2 to multiplex up to 4 UEs.</w:t>
            </w:r>
          </w:p>
          <w:p w14:paraId="4AD7DFFC" w14:textId="77777777" w:rsidR="00176F02" w:rsidRPr="00E069E4" w:rsidRDefault="00176F02" w:rsidP="00176F02">
            <w:pPr>
              <w:tabs>
                <w:tab w:val="num" w:pos="720"/>
                <w:tab w:val="left" w:pos="1701"/>
              </w:tabs>
              <w:rPr>
                <w:rFonts w:eastAsia="Calibri" w:cs="Times"/>
              </w:rPr>
            </w:pPr>
            <w:r w:rsidRPr="00E069E4">
              <w:rPr>
                <w:rFonts w:eastAsia="Calibri" w:cs="Times"/>
              </w:rPr>
              <w:t>Note 1: there will be separate UE capabilities for OCC length 2 and OCC length 4, where UE capability for OCC length 2 is a prerequisite for UE capability for OCC length 4.</w:t>
            </w:r>
          </w:p>
          <w:p w14:paraId="56B8997E" w14:textId="77777777" w:rsidR="00176F02" w:rsidRPr="00E069E4" w:rsidRDefault="00176F02" w:rsidP="00176F02">
            <w:pPr>
              <w:rPr>
                <w:rFonts w:eastAsia="宋体" w:cs="Times"/>
                <w:szCs w:val="20"/>
              </w:rPr>
            </w:pPr>
            <w:r w:rsidRPr="00E069E4">
              <w:rPr>
                <w:rFonts w:cs="Times"/>
                <w:szCs w:val="20"/>
              </w:rPr>
              <w:t xml:space="preserve">Note 2: </w:t>
            </w:r>
            <w:proofErr w:type="spellStart"/>
            <w:r w:rsidRPr="00E069E4">
              <w:rPr>
                <w:rFonts w:eastAsia="宋体" w:cs="Times"/>
                <w:szCs w:val="20"/>
              </w:rPr>
              <w:t>gNB</w:t>
            </w:r>
            <w:proofErr w:type="spellEnd"/>
            <w:r w:rsidRPr="00E069E4">
              <w:rPr>
                <w:rFonts w:eastAsia="宋体" w:cs="Times"/>
                <w:szCs w:val="20"/>
              </w:rPr>
              <w:t xml:space="preserve"> can ensure the performance of Option 1 by UE grouping with similar CFO (e.g. maximum differential CFO of 50 or 100 Hz or 200 Hz). Without CFO grouping (e.g. maximum differential CFO of 400 Hz), the performance of option 1 is degraded</w:t>
            </w:r>
            <w:r w:rsidRPr="00E069E4">
              <w:rPr>
                <w:rFonts w:cs="Times"/>
                <w:szCs w:val="20"/>
              </w:rPr>
              <w:t xml:space="preserve"> by at least 1 dB in several cases</w:t>
            </w:r>
            <w:r w:rsidRPr="00E069E4">
              <w:rPr>
                <w:rFonts w:eastAsia="宋体" w:cs="Times"/>
                <w:szCs w:val="20"/>
              </w:rPr>
              <w:t>. For CFO grouping, several companies in RAN1 state that CFO grouping is feasible based on network implementation without any new specification impact.</w:t>
            </w:r>
          </w:p>
          <w:p w14:paraId="02E5538A" w14:textId="77777777" w:rsidR="00176F02" w:rsidRPr="00E069E4" w:rsidRDefault="00176F02" w:rsidP="00117EAB">
            <w:pPr>
              <w:numPr>
                <w:ilvl w:val="0"/>
                <w:numId w:val="23"/>
              </w:numPr>
              <w:autoSpaceDE w:val="0"/>
              <w:autoSpaceDN w:val="0"/>
              <w:adjustRightInd w:val="0"/>
              <w:rPr>
                <w:rFonts w:eastAsia="宋体" w:cs="Times"/>
              </w:rPr>
            </w:pPr>
            <w:r w:rsidRPr="00E069E4">
              <w:rPr>
                <w:rFonts w:eastAsia="宋体" w:cs="Times"/>
              </w:rPr>
              <w:t xml:space="preserve">RAN1 assumes no specification impact for </w:t>
            </w:r>
            <w:r w:rsidRPr="00E069E4">
              <w:rPr>
                <w:rFonts w:eastAsia="宋体" w:cs="Times"/>
                <w:szCs w:val="20"/>
              </w:rPr>
              <w:t>CFO grouping</w:t>
            </w:r>
          </w:p>
          <w:p w14:paraId="32C283AA" w14:textId="77777777" w:rsidR="00176F02" w:rsidRPr="00E069E4" w:rsidRDefault="00176F02" w:rsidP="00117EAB">
            <w:pPr>
              <w:numPr>
                <w:ilvl w:val="0"/>
                <w:numId w:val="23"/>
              </w:numPr>
              <w:autoSpaceDE w:val="0"/>
              <w:autoSpaceDN w:val="0"/>
              <w:adjustRightInd w:val="0"/>
              <w:rPr>
                <w:rFonts w:eastAsia="宋体" w:cs="Times"/>
              </w:rPr>
            </w:pPr>
            <w:r w:rsidRPr="00E069E4">
              <w:rPr>
                <w:rFonts w:eastAsia="宋体" w:cs="Times"/>
              </w:rPr>
              <w:t>RAN1 does not pursue closed-loop frequency adjustment commands.</w:t>
            </w:r>
          </w:p>
          <w:p w14:paraId="6B41E2E1" w14:textId="77777777" w:rsidR="00176F02" w:rsidRPr="00E069E4" w:rsidRDefault="00176F02" w:rsidP="00117EAB">
            <w:pPr>
              <w:numPr>
                <w:ilvl w:val="0"/>
                <w:numId w:val="23"/>
              </w:numPr>
              <w:autoSpaceDE w:val="0"/>
              <w:autoSpaceDN w:val="0"/>
              <w:adjustRightInd w:val="0"/>
              <w:rPr>
                <w:rFonts w:eastAsia="宋体" w:cs="Times"/>
              </w:rPr>
            </w:pPr>
            <w:r w:rsidRPr="00E069E4">
              <w:rPr>
                <w:rFonts w:eastAsia="宋体" w:cs="Times"/>
              </w:rPr>
              <w:t>RAN1 assumes that RAN4 does not define new UE requirements for CFO.</w:t>
            </w:r>
          </w:p>
          <w:p w14:paraId="0BB2376D" w14:textId="6508D290" w:rsidR="00176F02" w:rsidRPr="00176F02" w:rsidRDefault="00176F02" w:rsidP="00176F02"/>
        </w:tc>
      </w:tr>
    </w:tbl>
    <w:p w14:paraId="50C8F44C" w14:textId="3FC54F15" w:rsidR="004F4857" w:rsidRDefault="00B60022" w:rsidP="00716422">
      <w:pPr>
        <w:spacing w:before="180" w:after="180"/>
      </w:pPr>
      <w:r>
        <w:t>I</w:t>
      </w:r>
      <w:r w:rsidR="00F541BA">
        <w:t>n this paper</w:t>
      </w:r>
      <w:r w:rsidR="003E4ED5">
        <w:t xml:space="preserve">, </w:t>
      </w:r>
      <w:r w:rsidR="00F541BA">
        <w:t>w</w:t>
      </w:r>
      <w:r w:rsidR="008E4CE9">
        <w:t xml:space="preserve">e provide </w:t>
      </w:r>
      <w:r>
        <w:t xml:space="preserve">our views on the </w:t>
      </w:r>
      <w:r w:rsidR="00E410C0">
        <w:t>possible RAN2 impacts</w:t>
      </w:r>
      <w:r w:rsidR="004F4857">
        <w:t>.</w:t>
      </w:r>
    </w:p>
    <w:p w14:paraId="43B4CC6F" w14:textId="565F65F9" w:rsidR="00D92FCA" w:rsidRDefault="00D92FCA" w:rsidP="00AF4438">
      <w:pPr>
        <w:pStyle w:val="1"/>
        <w:tabs>
          <w:tab w:val="num" w:pos="397"/>
        </w:tabs>
        <w:spacing w:before="0"/>
        <w:ind w:left="533" w:hanging="533"/>
        <w:jc w:val="both"/>
        <w:rPr>
          <w:lang w:eastAsia="de-DE"/>
        </w:rPr>
      </w:pPr>
      <w:r>
        <w:rPr>
          <w:lang w:eastAsia="de-DE"/>
        </w:rPr>
        <w:t>2</w:t>
      </w:r>
      <w:r w:rsidRPr="00D92FCA">
        <w:rPr>
          <w:lang w:eastAsia="de-DE"/>
        </w:rPr>
        <w:tab/>
      </w:r>
      <w:r>
        <w:rPr>
          <w:lang w:eastAsia="de-DE"/>
        </w:rPr>
        <w:t>Discussion</w:t>
      </w:r>
      <w:bookmarkEnd w:id="1"/>
      <w:bookmarkEnd w:id="2"/>
      <w:bookmarkEnd w:id="3"/>
    </w:p>
    <w:p w14:paraId="13E68C69" w14:textId="1D3658D2" w:rsidR="001737FD" w:rsidRDefault="001737FD" w:rsidP="00716422">
      <w:pPr>
        <w:spacing w:after="180"/>
        <w:rPr>
          <w:lang w:val="en-US" w:eastAsia="zh-CN"/>
        </w:rPr>
      </w:pPr>
      <w:bookmarkStart w:id="4" w:name="_Toc499559239"/>
      <w:bookmarkStart w:id="5" w:name="_Toc61387173"/>
      <w:bookmarkStart w:id="6" w:name="_Toc147158672"/>
      <w:r>
        <w:rPr>
          <w:lang w:eastAsia="zh-CN"/>
        </w:rPr>
        <w:t xml:space="preserve">In NTN scenario, a satellite usually needs to cover a </w:t>
      </w:r>
      <w:r>
        <w:rPr>
          <w:lang w:val="en-US" w:eastAsia="zh-CN"/>
        </w:rPr>
        <w:t xml:space="preserve">much larger terrestrial area serving a great number of UEs compared with </w:t>
      </w:r>
      <w:proofErr w:type="spellStart"/>
      <w:r>
        <w:rPr>
          <w:lang w:val="en-US" w:eastAsia="zh-CN"/>
        </w:rPr>
        <w:t>gNB</w:t>
      </w:r>
      <w:proofErr w:type="spellEnd"/>
      <w:r>
        <w:rPr>
          <w:lang w:val="en-US" w:eastAsia="zh-CN"/>
        </w:rPr>
        <w:t xml:space="preserve"> in terrestrial network.</w:t>
      </w:r>
      <w:r>
        <w:rPr>
          <w:rFonts w:hint="eastAsia"/>
          <w:lang w:val="en-US" w:eastAsia="zh-CN"/>
        </w:rPr>
        <w:t xml:space="preserve"> </w:t>
      </w:r>
      <w:r>
        <w:rPr>
          <w:lang w:val="en-US" w:eastAsia="zh-CN"/>
        </w:rPr>
        <w:t xml:space="preserve">In order to compensate large path-loss suffered by UE in uplink, the maximum number of repetitions for a PUSCH transmission is increased from 16 to 32 in Rel-17. Whereas, the use of repetition increases the transmission time of a UE and is accompanied with high resource utilization in uplink, which will compromise the system capacity. Considering the large number of UEs demanding for uplink transmission and the limited spectrum resources available, it is beneficial to enhance uplink system capacity/throughput. </w:t>
      </w:r>
    </w:p>
    <w:p w14:paraId="3A4F6BC7" w14:textId="007EF7F5" w:rsidR="001737FD" w:rsidRDefault="00464F86" w:rsidP="00AF7EAC">
      <w:pPr>
        <w:spacing w:after="180"/>
        <w:rPr>
          <w:lang w:val="en-US" w:eastAsia="zh-CN"/>
        </w:rPr>
      </w:pPr>
      <w:r>
        <w:rPr>
          <w:lang w:val="en-US" w:eastAsia="zh-CN"/>
        </w:rPr>
        <w:lastRenderedPageBreak/>
        <w:t>O</w:t>
      </w:r>
      <w:r w:rsidR="001737FD">
        <w:rPr>
          <w:lang w:val="en-US" w:eastAsia="zh-CN"/>
        </w:rPr>
        <w:t xml:space="preserve">rthogonal cover codes (OCC) </w:t>
      </w:r>
      <w:r>
        <w:rPr>
          <w:lang w:val="en-US" w:eastAsia="zh-CN"/>
        </w:rPr>
        <w:t xml:space="preserve">is proposed </w:t>
      </w:r>
      <w:r w:rsidR="001737FD">
        <w:rPr>
          <w:lang w:val="en-US" w:eastAsia="zh-CN"/>
        </w:rPr>
        <w:t>to address the issue above. In UL transmission, signals from different UEs can be multiplexed in the same time and frequency domain resource by multiplexing different OCCs on the repeated signals. The orthogonality of OCC sequence can be maintained across multiple UEs, if the power consistence and phase continuity of the repeated signals and channel coefficient are not changed dramatically during the time span of an OCC sequence.</w:t>
      </w:r>
    </w:p>
    <w:p w14:paraId="68C83E31" w14:textId="70D78A8A" w:rsidR="00F87DF9" w:rsidRDefault="00F87DF9" w:rsidP="00AF7EAC">
      <w:pPr>
        <w:spacing w:after="180"/>
        <w:rPr>
          <w:lang w:val="en-US" w:eastAsia="zh-CN"/>
        </w:rPr>
      </w:pPr>
      <w:r>
        <w:rPr>
          <w:lang w:val="en-US" w:eastAsia="zh-CN"/>
        </w:rPr>
        <w:t>From signaling perspective, the following need to be configured to the UE:</w:t>
      </w:r>
    </w:p>
    <w:p w14:paraId="5D400DAA" w14:textId="226791AF" w:rsidR="00F87DF9" w:rsidRDefault="00176F02" w:rsidP="00AF7EAC">
      <w:pPr>
        <w:spacing w:after="180"/>
        <w:rPr>
          <w:lang w:val="en-US" w:eastAsia="zh-CN"/>
        </w:rPr>
      </w:pPr>
      <w:r>
        <w:rPr>
          <w:lang w:val="en-US" w:eastAsia="zh-CN"/>
        </w:rPr>
        <w:t>1</w:t>
      </w:r>
      <w:r w:rsidR="00F87DF9">
        <w:rPr>
          <w:lang w:val="en-US" w:eastAsia="zh-CN"/>
        </w:rPr>
        <w:t>) OCC length (length 2, length 4)</w:t>
      </w:r>
    </w:p>
    <w:p w14:paraId="3B0E4AD0" w14:textId="4A85160B" w:rsidR="00F87DF9" w:rsidRDefault="00176F02" w:rsidP="00AF7EAC">
      <w:pPr>
        <w:spacing w:after="180"/>
        <w:rPr>
          <w:lang w:val="en-US" w:eastAsia="zh-CN"/>
        </w:rPr>
      </w:pPr>
      <w:r>
        <w:rPr>
          <w:lang w:val="en-US" w:eastAsia="zh-CN"/>
        </w:rPr>
        <w:t>2</w:t>
      </w:r>
      <w:r w:rsidR="00F87DF9">
        <w:rPr>
          <w:lang w:val="en-US" w:eastAsia="zh-CN"/>
        </w:rPr>
        <w:t>) OCC index</w:t>
      </w:r>
      <w:r>
        <w:rPr>
          <w:lang w:val="en-US" w:eastAsia="zh-CN"/>
        </w:rPr>
        <w:t xml:space="preserve"> (</w:t>
      </w:r>
      <w:r>
        <w:rPr>
          <w:lang w:val="x-none" w:eastAsia="zh-CN"/>
        </w:rPr>
        <w:t>the line index of the OCC matrix</w:t>
      </w:r>
      <w:r>
        <w:rPr>
          <w:lang w:val="en-US" w:eastAsia="zh-CN"/>
        </w:rPr>
        <w:t>)</w:t>
      </w:r>
    </w:p>
    <w:p w14:paraId="7143952B" w14:textId="4F4816C2" w:rsidR="00140344" w:rsidRDefault="00105B8A" w:rsidP="001F64D7">
      <w:pPr>
        <w:spacing w:after="180"/>
        <w:rPr>
          <w:lang w:val="x-none" w:eastAsia="zh-CN"/>
        </w:rPr>
      </w:pPr>
      <w:r>
        <w:rPr>
          <w:lang w:val="x-none" w:eastAsia="zh-CN"/>
        </w:rPr>
        <w:t>A specific OCC sequence can be indicated to a UE by indicating the OCC length and the OCC index: b</w:t>
      </w:r>
      <w:r w:rsidR="0024222F">
        <w:rPr>
          <w:lang w:val="x-none" w:eastAsia="zh-CN"/>
        </w:rPr>
        <w:t>ased on the OCC length</w:t>
      </w:r>
      <w:r w:rsidR="002F1E25">
        <w:rPr>
          <w:lang w:val="x-none" w:eastAsia="zh-CN"/>
        </w:rPr>
        <w:t>,</w:t>
      </w:r>
      <w:r w:rsidR="0024222F">
        <w:rPr>
          <w:lang w:val="x-none" w:eastAsia="zh-CN"/>
        </w:rPr>
        <w:t xml:space="preserve"> the specific OCC matrix can be generated, and the exact </w:t>
      </w:r>
      <w:r w:rsidR="00452579">
        <w:rPr>
          <w:lang w:val="x-none" w:eastAsia="zh-CN"/>
        </w:rPr>
        <w:t>OCC sequence</w:t>
      </w:r>
      <w:r w:rsidR="0024222F">
        <w:rPr>
          <w:lang w:val="x-none" w:eastAsia="zh-CN"/>
        </w:rPr>
        <w:t xml:space="preserve"> allocated to each UE is represented by </w:t>
      </w:r>
      <w:r>
        <w:rPr>
          <w:lang w:val="x-none" w:eastAsia="zh-CN"/>
        </w:rPr>
        <w:t xml:space="preserve">the OCC index, e.g., </w:t>
      </w:r>
      <w:r w:rsidR="0024222F">
        <w:rPr>
          <w:lang w:val="x-none" w:eastAsia="zh-CN"/>
        </w:rPr>
        <w:t xml:space="preserve">each line in the matrix. </w:t>
      </w:r>
      <w:r>
        <w:rPr>
          <w:lang w:val="x-none" w:eastAsia="zh-CN"/>
        </w:rPr>
        <w:t>2 or 4</w:t>
      </w:r>
      <w:r w:rsidR="007B514B">
        <w:rPr>
          <w:lang w:val="x-none" w:eastAsia="zh-CN"/>
        </w:rPr>
        <w:t xml:space="preserve"> UEs perform inter-slot OCC based on the </w:t>
      </w:r>
      <w:r>
        <w:rPr>
          <w:lang w:val="x-none" w:eastAsia="zh-CN"/>
        </w:rPr>
        <w:t>OCC sequences allocated to the UEs.</w:t>
      </w:r>
      <w:r w:rsidR="007B514B">
        <w:rPr>
          <w:lang w:val="x-none" w:eastAsia="zh-CN"/>
        </w:rPr>
        <w:t xml:space="preserve"> </w:t>
      </w:r>
      <w:r w:rsidR="00176F02">
        <w:rPr>
          <w:lang w:val="x-none" w:eastAsia="zh-CN"/>
        </w:rPr>
        <w:t>It is proposed:</w:t>
      </w:r>
    </w:p>
    <w:p w14:paraId="0A46C7E6" w14:textId="30269FDD" w:rsidR="00176F02" w:rsidRDefault="003D5086" w:rsidP="001F64D7">
      <w:pPr>
        <w:spacing w:after="180"/>
        <w:rPr>
          <w:b/>
          <w:lang w:val="x-none" w:eastAsia="zh-CN"/>
        </w:rPr>
      </w:pPr>
      <w:r w:rsidRPr="003D5086">
        <w:rPr>
          <w:b/>
          <w:lang w:val="x-none" w:eastAsia="zh-CN"/>
        </w:rPr>
        <w:t xml:space="preserve">Proposal 1: </w:t>
      </w:r>
      <w:r w:rsidR="00176F02">
        <w:rPr>
          <w:b/>
          <w:lang w:val="x-none" w:eastAsia="zh-CN"/>
        </w:rPr>
        <w:t>OCC index (</w:t>
      </w:r>
      <w:r w:rsidR="00176F02" w:rsidRPr="006A616A">
        <w:rPr>
          <w:b/>
          <w:lang w:val="x-none" w:eastAsia="zh-CN"/>
        </w:rPr>
        <w:t>i.e., the line index of the OCC matrix</w:t>
      </w:r>
      <w:r w:rsidR="00176F02">
        <w:rPr>
          <w:b/>
          <w:lang w:val="x-none" w:eastAsia="zh-CN"/>
        </w:rPr>
        <w:t>) and OCC length need to be indicated to the UE.</w:t>
      </w:r>
    </w:p>
    <w:p w14:paraId="4B53F790" w14:textId="6026F9F0" w:rsidR="00A66FB3" w:rsidRDefault="00B64C99" w:rsidP="001F64D7">
      <w:pPr>
        <w:spacing w:after="180"/>
        <w:rPr>
          <w:lang w:val="x-none" w:eastAsia="zh-CN"/>
        </w:rPr>
      </w:pPr>
      <w:r>
        <w:rPr>
          <w:lang w:val="x-none" w:eastAsia="zh-CN"/>
        </w:rPr>
        <w:t>The next issue is how to provide</w:t>
      </w:r>
      <w:r w:rsidR="00052912">
        <w:rPr>
          <w:lang w:val="en-US" w:eastAsia="zh-CN"/>
        </w:rPr>
        <w:t>/signal</w:t>
      </w:r>
      <w:r>
        <w:rPr>
          <w:lang w:val="x-none" w:eastAsia="zh-CN"/>
        </w:rPr>
        <w:t xml:space="preserve"> the OCC configuration to the UE</w:t>
      </w:r>
      <w:r w:rsidR="00A66FB3">
        <w:rPr>
          <w:lang w:val="x-none" w:eastAsia="zh-CN"/>
        </w:rPr>
        <w:t>, considering the UE’s PUSCH transmission can be scheduled by dynamic grant or configured grant:</w:t>
      </w:r>
    </w:p>
    <w:p w14:paraId="55CBC364" w14:textId="4DFD043C" w:rsidR="00A66FB3" w:rsidRPr="00FB5C12" w:rsidRDefault="00A66FB3" w:rsidP="00117EAB">
      <w:pPr>
        <w:pStyle w:val="afd"/>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dynamic grant, </w:t>
      </w:r>
      <w:r w:rsidR="00FB5C12" w:rsidRPr="00FB5C12">
        <w:rPr>
          <w:rFonts w:ascii="Times New Roman" w:hAnsi="Times New Roman"/>
          <w:sz w:val="20"/>
          <w:lang w:eastAsia="zh-CN"/>
        </w:rPr>
        <w:t xml:space="preserve">where </w:t>
      </w:r>
      <w:r w:rsidRPr="00FB5C12">
        <w:rPr>
          <w:rFonts w:ascii="Times New Roman" w:hAnsi="Times New Roman"/>
          <w:sz w:val="20"/>
          <w:lang w:eastAsia="zh-CN"/>
        </w:rPr>
        <w:t>the PUSCH transmission is scheduled by DCI, the OCC signal</w:t>
      </w:r>
      <w:r w:rsidR="00FB5C12" w:rsidRPr="00FB5C12">
        <w:rPr>
          <w:rFonts w:ascii="Times New Roman" w:hAnsi="Times New Roman"/>
          <w:sz w:val="20"/>
          <w:lang w:eastAsia="zh-CN"/>
        </w:rPr>
        <w:t>ing can</w:t>
      </w:r>
      <w:r w:rsidRPr="00FB5C12">
        <w:rPr>
          <w:rFonts w:ascii="Times New Roman" w:hAnsi="Times New Roman"/>
          <w:sz w:val="20"/>
          <w:lang w:eastAsia="zh-CN"/>
        </w:rPr>
        <w:t xml:space="preserve"> be included in DCI and </w:t>
      </w:r>
      <w:r w:rsidR="00052912">
        <w:rPr>
          <w:rFonts w:ascii="Times New Roman" w:hAnsi="Times New Roman"/>
          <w:sz w:val="20"/>
          <w:lang w:val="en-US" w:eastAsia="zh-CN"/>
        </w:rPr>
        <w:t xml:space="preserve">is to be </w:t>
      </w:r>
      <w:r w:rsidRPr="00FB5C12">
        <w:rPr>
          <w:rFonts w:ascii="Times New Roman" w:hAnsi="Times New Roman"/>
          <w:sz w:val="20"/>
          <w:lang w:eastAsia="zh-CN"/>
        </w:rPr>
        <w:t>d</w:t>
      </w:r>
      <w:r w:rsidR="007E4353">
        <w:rPr>
          <w:rFonts w:ascii="Times New Roman" w:hAnsi="Times New Roman"/>
          <w:sz w:val="20"/>
          <w:lang w:eastAsia="zh-CN"/>
        </w:rPr>
        <w:t>etermined</w:t>
      </w:r>
      <w:r w:rsidRPr="00FB5C12">
        <w:rPr>
          <w:rFonts w:ascii="Times New Roman" w:hAnsi="Times New Roman"/>
          <w:sz w:val="20"/>
          <w:lang w:eastAsia="zh-CN"/>
        </w:rPr>
        <w:t xml:space="preserve"> by RAN1.</w:t>
      </w:r>
    </w:p>
    <w:p w14:paraId="401DB146" w14:textId="7E98414B" w:rsidR="00FB5C12" w:rsidRPr="00FB5C12" w:rsidRDefault="00A66FB3" w:rsidP="00117EAB">
      <w:pPr>
        <w:pStyle w:val="afd"/>
        <w:numPr>
          <w:ilvl w:val="0"/>
          <w:numId w:val="19"/>
        </w:numPr>
        <w:spacing w:after="180"/>
        <w:ind w:left="357" w:hanging="357"/>
        <w:rPr>
          <w:rFonts w:ascii="Times New Roman" w:hAnsi="Times New Roman"/>
          <w:i/>
          <w:sz w:val="20"/>
          <w:lang w:eastAsia="zh-CN"/>
        </w:rPr>
      </w:pPr>
      <w:r w:rsidRPr="00FB5C12">
        <w:rPr>
          <w:rFonts w:ascii="Times New Roman" w:hAnsi="Times New Roman"/>
          <w:sz w:val="20"/>
          <w:lang w:eastAsia="zh-CN"/>
        </w:rPr>
        <w:t>For configured g</w:t>
      </w:r>
      <w:r w:rsidR="00FB5C12" w:rsidRPr="00FB5C12">
        <w:rPr>
          <w:rFonts w:ascii="Times New Roman" w:hAnsi="Times New Roman"/>
          <w:sz w:val="20"/>
          <w:lang w:eastAsia="zh-CN"/>
        </w:rPr>
        <w:t xml:space="preserve">rant Type 1, where the PUSCH transmission is performed after reception of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sz w:val="20"/>
          <w:lang w:eastAsia="zh-CN"/>
        </w:rPr>
        <w:t xml:space="preserve"> indicated by RRC signaling, the OCC-related parameters can be included in the </w:t>
      </w:r>
      <w:proofErr w:type="spellStart"/>
      <w:r w:rsidR="00FB5C12" w:rsidRPr="00FB5C12">
        <w:rPr>
          <w:rFonts w:ascii="Times New Roman" w:hAnsi="Times New Roman"/>
          <w:i/>
          <w:sz w:val="20"/>
          <w:lang w:eastAsia="zh-CN"/>
        </w:rPr>
        <w:t>rrc-ConfiguredUplinkGrant</w:t>
      </w:r>
      <w:proofErr w:type="spellEnd"/>
      <w:r w:rsidR="00FB5C12" w:rsidRPr="00FB5C12">
        <w:rPr>
          <w:rFonts w:ascii="Times New Roman" w:hAnsi="Times New Roman"/>
          <w:sz w:val="20"/>
          <w:lang w:eastAsia="zh-CN"/>
        </w:rPr>
        <w:t xml:space="preserve"> within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i/>
          <w:sz w:val="20"/>
          <w:lang w:eastAsia="zh-CN"/>
        </w:rPr>
        <w:t>.</w:t>
      </w:r>
    </w:p>
    <w:p w14:paraId="2D8C7D52" w14:textId="320DCFBC" w:rsidR="00A66FB3" w:rsidRPr="00FB5C12" w:rsidRDefault="00FB5C12" w:rsidP="00117EAB">
      <w:pPr>
        <w:pStyle w:val="afd"/>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configured grant Type 2, where the PUSCH transmission is activated by a DCI after the reception of RRC signaling including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sz w:val="20"/>
          <w:lang w:eastAsia="zh-CN"/>
        </w:rPr>
        <w:t xml:space="preserve"> without </w:t>
      </w:r>
      <w:proofErr w:type="spellStart"/>
      <w:r w:rsidRPr="00FB5C12">
        <w:rPr>
          <w:rFonts w:ascii="Times New Roman" w:hAnsi="Times New Roman"/>
          <w:i/>
          <w:sz w:val="20"/>
          <w:lang w:eastAsia="zh-CN"/>
        </w:rPr>
        <w:t>rrc-ConfiguredUplinkGrant</w:t>
      </w:r>
      <w:proofErr w:type="spellEnd"/>
      <w:r w:rsidRPr="00FB5C12">
        <w:rPr>
          <w:rFonts w:ascii="Times New Roman" w:hAnsi="Times New Roman"/>
          <w:sz w:val="20"/>
          <w:lang w:eastAsia="zh-CN"/>
        </w:rPr>
        <w:t xml:space="preserve">, the OCC-related parameters can be either included in </w:t>
      </w:r>
      <w:r w:rsidR="007E4353">
        <w:rPr>
          <w:rFonts w:ascii="Times New Roman" w:hAnsi="Times New Roman"/>
          <w:sz w:val="20"/>
          <w:lang w:eastAsia="zh-CN"/>
        </w:rPr>
        <w:t xml:space="preserve">the </w:t>
      </w:r>
      <w:r w:rsidRPr="00FB5C12">
        <w:rPr>
          <w:rFonts w:ascii="Times New Roman" w:hAnsi="Times New Roman"/>
          <w:sz w:val="20"/>
          <w:lang w:eastAsia="zh-CN"/>
        </w:rPr>
        <w:t xml:space="preserve">DCI, or configured by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i/>
          <w:sz w:val="20"/>
          <w:lang w:eastAsia="zh-CN"/>
        </w:rPr>
        <w:t>/</w:t>
      </w:r>
      <w:proofErr w:type="spellStart"/>
      <w:r w:rsidRPr="00FB5C12">
        <w:rPr>
          <w:rFonts w:ascii="Times New Roman" w:hAnsi="Times New Roman"/>
          <w:i/>
          <w:sz w:val="20"/>
          <w:lang w:eastAsia="zh-CN"/>
        </w:rPr>
        <w:t>pusch</w:t>
      </w:r>
      <w:proofErr w:type="spellEnd"/>
      <w:r w:rsidRPr="00FB5C12">
        <w:rPr>
          <w:rFonts w:ascii="Times New Roman" w:hAnsi="Times New Roman"/>
          <w:i/>
          <w:sz w:val="20"/>
          <w:lang w:eastAsia="zh-CN"/>
        </w:rPr>
        <w:t>-config</w:t>
      </w:r>
      <w:r w:rsidRPr="00FB5C12">
        <w:rPr>
          <w:rFonts w:ascii="Times New Roman" w:hAnsi="Times New Roman"/>
          <w:sz w:val="20"/>
          <w:lang w:eastAsia="zh-CN"/>
        </w:rPr>
        <w:t>. The down-selection needs to be further discussed by RAN1.</w:t>
      </w:r>
    </w:p>
    <w:p w14:paraId="45D39CB3" w14:textId="6EC121A5" w:rsidR="00140344" w:rsidRPr="00140344" w:rsidRDefault="00FB5C12" w:rsidP="00AF7EAC">
      <w:pPr>
        <w:spacing w:after="180"/>
        <w:rPr>
          <w:lang w:val="x-none" w:eastAsia="zh-CN"/>
        </w:rPr>
      </w:pPr>
      <w:r>
        <w:rPr>
          <w:lang w:val="x-none" w:eastAsia="zh-CN"/>
        </w:rPr>
        <w:t>As analyzed above, i</w:t>
      </w:r>
      <w:r w:rsidR="00F4739A">
        <w:rPr>
          <w:lang w:val="x-none" w:eastAsia="zh-CN"/>
        </w:rPr>
        <w:t>t is proposed:</w:t>
      </w:r>
    </w:p>
    <w:p w14:paraId="179CF8E8" w14:textId="2D86C4F5" w:rsidR="003D5086" w:rsidRDefault="003D5086" w:rsidP="001F64D7">
      <w:pPr>
        <w:spacing w:after="180"/>
        <w:rPr>
          <w:b/>
        </w:rPr>
      </w:pPr>
      <w:r>
        <w:rPr>
          <w:b/>
        </w:rPr>
        <w:t>Proposal 2: For configured</w:t>
      </w:r>
      <w:r w:rsidR="002F1E25">
        <w:rPr>
          <w:b/>
        </w:rPr>
        <w:t xml:space="preserve"> grant Type 1, OCC </w:t>
      </w:r>
      <w:r w:rsidR="009801F3">
        <w:rPr>
          <w:b/>
        </w:rPr>
        <w:t>configurations</w:t>
      </w:r>
      <w:r>
        <w:rPr>
          <w:b/>
        </w:rPr>
        <w:t xml:space="preserve"> </w:t>
      </w:r>
      <w:r w:rsidR="002F1E25">
        <w:rPr>
          <w:b/>
        </w:rPr>
        <w:t>are</w:t>
      </w:r>
      <w:r>
        <w:rPr>
          <w:b/>
        </w:rPr>
        <w:t xml:space="preserve"> provided to the UE via RRC signalling. FFS </w:t>
      </w:r>
      <w:r w:rsidR="00052912">
        <w:rPr>
          <w:b/>
        </w:rPr>
        <w:t xml:space="preserve">what </w:t>
      </w:r>
      <w:r w:rsidR="009801F3">
        <w:rPr>
          <w:b/>
        </w:rPr>
        <w:t xml:space="preserve">signalling for the </w:t>
      </w:r>
      <w:r w:rsidR="00052912">
        <w:rPr>
          <w:b/>
        </w:rPr>
        <w:t xml:space="preserve">OCC configuration should be provided </w:t>
      </w:r>
      <w:r>
        <w:rPr>
          <w:b/>
        </w:rPr>
        <w:t>for dynamic grant or configured grant type 2.</w:t>
      </w:r>
    </w:p>
    <w:p w14:paraId="6E7EC542" w14:textId="3DE82F3F" w:rsidR="000F126F" w:rsidRDefault="00F966F2" w:rsidP="001F64D7">
      <w:pPr>
        <w:spacing w:after="180"/>
        <w:rPr>
          <w:b/>
        </w:rPr>
      </w:pPr>
      <w:r w:rsidRPr="00FB5C12">
        <w:t xml:space="preserve">As an </w:t>
      </w:r>
      <w:r>
        <w:t>optional enhancement for Rel-19 NTN UEs, UE capabilities need to be introduced for indicating the OCC support.</w:t>
      </w:r>
      <w:r w:rsidR="00DB0E06">
        <w:t xml:space="preserve"> As noted in</w:t>
      </w:r>
      <w:r>
        <w:t xml:space="preserve"> RAN1 agreement, separate UE capabilities </w:t>
      </w:r>
      <w:r w:rsidR="0002309C">
        <w:t xml:space="preserve">are introduced </w:t>
      </w:r>
      <w:r>
        <w:t xml:space="preserve">for OCC </w:t>
      </w:r>
      <w:r w:rsidRPr="00F966F2">
        <w:t>length 2 and OCC length 4, where UE capability for OCC length 2 is a prerequisite for</w:t>
      </w:r>
      <w:r>
        <w:t xml:space="preserve"> UE capability for OCC length 4.</w:t>
      </w:r>
    </w:p>
    <w:p w14:paraId="062FB393" w14:textId="1525A635" w:rsidR="00F966F2" w:rsidRDefault="000F126F" w:rsidP="001F64D7">
      <w:pPr>
        <w:spacing w:after="180"/>
        <w:rPr>
          <w:b/>
        </w:rPr>
      </w:pPr>
      <w:r>
        <w:rPr>
          <w:b/>
        </w:rPr>
        <w:t xml:space="preserve">Proposal 3: RAN2 </w:t>
      </w:r>
      <w:r w:rsidR="00F966F2">
        <w:rPr>
          <w:b/>
        </w:rPr>
        <w:t xml:space="preserve">to introduce </w:t>
      </w:r>
      <w:r w:rsidR="00F966F2" w:rsidRPr="00F966F2">
        <w:rPr>
          <w:b/>
        </w:rPr>
        <w:t>separate UE capabilities for OCC length 2 and OCC length 4</w:t>
      </w:r>
      <w:r w:rsidR="00F966F2">
        <w:rPr>
          <w:b/>
        </w:rPr>
        <w:t xml:space="preserve">, and </w:t>
      </w:r>
      <w:r w:rsidR="00F966F2" w:rsidRPr="00F966F2">
        <w:rPr>
          <w:b/>
        </w:rPr>
        <w:t>UE capability for OCC length 2 is a prerequisite for UE capability for OCC length 4.</w:t>
      </w:r>
    </w:p>
    <w:bookmarkEnd w:id="4"/>
    <w:bookmarkEnd w:id="5"/>
    <w:bookmarkEnd w:id="6"/>
    <w:p w14:paraId="088961FA" w14:textId="284A82FC" w:rsidR="003C7F86" w:rsidRPr="00B139C2" w:rsidRDefault="00B139C2" w:rsidP="00AF4438">
      <w:pPr>
        <w:pStyle w:val="1"/>
        <w:tabs>
          <w:tab w:val="num" w:pos="397"/>
        </w:tabs>
        <w:spacing w:before="0"/>
        <w:ind w:left="533" w:hanging="533"/>
        <w:jc w:val="both"/>
        <w:rPr>
          <w:lang w:eastAsia="de-DE"/>
        </w:rPr>
      </w:pPr>
      <w:r>
        <w:rPr>
          <w:lang w:eastAsia="de-DE"/>
        </w:rPr>
        <w:t>3</w:t>
      </w:r>
      <w:r>
        <w:rPr>
          <w:lang w:eastAsia="de-DE"/>
        </w:rPr>
        <w:tab/>
      </w:r>
      <w:r w:rsidR="00405D72">
        <w:rPr>
          <w:lang w:eastAsia="de-DE"/>
        </w:rPr>
        <w:t>Conclusion</w:t>
      </w:r>
    </w:p>
    <w:p w14:paraId="09223AC5" w14:textId="499AC0D3" w:rsidR="00405D72" w:rsidRDefault="00405D72" w:rsidP="00716422">
      <w:pPr>
        <w:spacing w:after="180"/>
      </w:pPr>
      <w:r w:rsidRPr="00E30475">
        <w:t>This contribution</w:t>
      </w:r>
      <w:r w:rsidR="000C4A22">
        <w:t xml:space="preserve"> analyse</w:t>
      </w:r>
      <w:r w:rsidR="00A6704E">
        <w:t>s</w:t>
      </w:r>
      <w:r w:rsidR="000C4A22">
        <w:t xml:space="preserve"> the </w:t>
      </w:r>
      <w:r w:rsidR="00A6704E">
        <w:t>OCC signalling based on RAN1 progress</w:t>
      </w:r>
      <w:r w:rsidR="00B777C5">
        <w:t>,</w:t>
      </w:r>
      <w:r w:rsidR="00946B09">
        <w:t xml:space="preserve"> and </w:t>
      </w:r>
      <w:r w:rsidR="00B777C5">
        <w:t>proposes the following:</w:t>
      </w:r>
    </w:p>
    <w:p w14:paraId="6F922B44" w14:textId="77777777" w:rsidR="00844F84" w:rsidRDefault="00844F84" w:rsidP="00844F84">
      <w:pPr>
        <w:spacing w:after="180"/>
        <w:rPr>
          <w:b/>
          <w:lang w:val="x-none" w:eastAsia="zh-CN"/>
        </w:rPr>
      </w:pPr>
      <w:r w:rsidRPr="003D5086">
        <w:rPr>
          <w:b/>
          <w:lang w:val="x-none" w:eastAsia="zh-CN"/>
        </w:rPr>
        <w:t xml:space="preserve">Proposal 1: </w:t>
      </w:r>
      <w:r>
        <w:rPr>
          <w:b/>
          <w:lang w:val="x-none" w:eastAsia="zh-CN"/>
        </w:rPr>
        <w:t>OCC index (</w:t>
      </w:r>
      <w:r w:rsidRPr="006A616A">
        <w:rPr>
          <w:b/>
          <w:lang w:val="x-none" w:eastAsia="zh-CN"/>
        </w:rPr>
        <w:t>i.e., the line index of the OCC matrix</w:t>
      </w:r>
      <w:r>
        <w:rPr>
          <w:b/>
          <w:lang w:val="x-none" w:eastAsia="zh-CN"/>
        </w:rPr>
        <w:t>) and OCC length need to be indicated to the UE.</w:t>
      </w:r>
    </w:p>
    <w:p w14:paraId="3945D0F8" w14:textId="77777777" w:rsidR="009801F3" w:rsidRDefault="009801F3" w:rsidP="009801F3">
      <w:pPr>
        <w:spacing w:after="180"/>
        <w:rPr>
          <w:b/>
        </w:rPr>
      </w:pPr>
      <w:r>
        <w:rPr>
          <w:b/>
        </w:rPr>
        <w:t>Proposal 2: For configured grant Type 1, OCC configurations are provided to the UE via RRC signalling. FFS what signalling for the OCC configuration should be provided for dynamic grant or configured grant type 2.</w:t>
      </w:r>
    </w:p>
    <w:p w14:paraId="2E2B309D" w14:textId="4DED0AD8" w:rsidR="0002309C" w:rsidRDefault="0002309C" w:rsidP="009801F3">
      <w:pPr>
        <w:spacing w:after="180"/>
        <w:rPr>
          <w:b/>
        </w:rPr>
      </w:pPr>
      <w:r>
        <w:rPr>
          <w:b/>
        </w:rPr>
        <w:t xml:space="preserve">Proposal 3: RAN2 to introduce </w:t>
      </w:r>
      <w:r w:rsidRPr="00F966F2">
        <w:rPr>
          <w:b/>
        </w:rPr>
        <w:t>separate UE capabilities for OCC length 2 and OCC length 4</w:t>
      </w:r>
      <w:r>
        <w:rPr>
          <w:b/>
        </w:rPr>
        <w:t xml:space="preserve">, and </w:t>
      </w:r>
      <w:r w:rsidRPr="00F966F2">
        <w:rPr>
          <w:b/>
        </w:rPr>
        <w:t>UE capability for OCC length 2 is a prerequisite for UE capability for OCC length 4.</w:t>
      </w:r>
    </w:p>
    <w:p w14:paraId="0452CE50" w14:textId="48339E58" w:rsidR="002E2D7B" w:rsidRPr="00B139C2" w:rsidRDefault="002E2D7B" w:rsidP="00AF4438">
      <w:pPr>
        <w:pStyle w:val="1"/>
        <w:tabs>
          <w:tab w:val="num" w:pos="397"/>
        </w:tabs>
        <w:spacing w:before="0"/>
        <w:ind w:left="533" w:hanging="533"/>
        <w:jc w:val="both"/>
        <w:rPr>
          <w:lang w:eastAsia="de-DE"/>
        </w:rPr>
      </w:pPr>
      <w:r>
        <w:rPr>
          <w:lang w:eastAsia="de-DE"/>
        </w:rPr>
        <w:t>4</w:t>
      </w:r>
      <w:r>
        <w:rPr>
          <w:lang w:eastAsia="de-DE"/>
        </w:rPr>
        <w:tab/>
        <w:t>References</w:t>
      </w:r>
    </w:p>
    <w:p w14:paraId="4F232EED" w14:textId="6538A64D" w:rsidR="00266EDC" w:rsidRDefault="00A6704E" w:rsidP="00117EAB">
      <w:pPr>
        <w:pStyle w:val="afd"/>
        <w:numPr>
          <w:ilvl w:val="0"/>
          <w:numId w:val="18"/>
        </w:numPr>
        <w:rPr>
          <w:rFonts w:ascii="Times New Roman" w:hAnsi="Times New Roman"/>
          <w:sz w:val="20"/>
          <w:lang w:val="en-US" w:eastAsia="en-GB"/>
        </w:rPr>
      </w:pPr>
      <w:bookmarkStart w:id="7" w:name="_Ref173428202"/>
      <w:bookmarkStart w:id="8" w:name="_Ref165366991"/>
      <w:r w:rsidRPr="00A6704E">
        <w:rPr>
          <w:rFonts w:ascii="Times New Roman" w:hAnsi="Times New Roman"/>
          <w:sz w:val="20"/>
          <w:lang w:val="en-US" w:eastAsia="en-GB"/>
        </w:rPr>
        <w:t>RP-241789</w:t>
      </w:r>
      <w:r w:rsidR="00191DA1" w:rsidRPr="00191DA1">
        <w:rPr>
          <w:rFonts w:ascii="Times New Roman" w:hAnsi="Times New Roman"/>
          <w:sz w:val="20"/>
          <w:lang w:val="en-US" w:eastAsia="en-GB"/>
        </w:rPr>
        <w:t xml:space="preserve">, </w:t>
      </w:r>
      <w:r w:rsidRPr="00A6704E">
        <w:rPr>
          <w:rFonts w:ascii="Times New Roman" w:hAnsi="Times New Roman"/>
          <w:sz w:val="20"/>
          <w:lang w:val="en-US" w:eastAsia="en-GB"/>
        </w:rPr>
        <w:t>Revised WID: Non-Terrestrial Networks (NTN) for NR Phase 3</w:t>
      </w:r>
      <w:r>
        <w:rPr>
          <w:rFonts w:ascii="Times New Roman" w:hAnsi="Times New Roman"/>
          <w:sz w:val="20"/>
          <w:lang w:val="en-US" w:eastAsia="en-GB"/>
        </w:rPr>
        <w:t xml:space="preserve">, </w:t>
      </w:r>
      <w:bookmarkEnd w:id="7"/>
      <w:bookmarkEnd w:id="8"/>
      <w:r w:rsidR="00E410C0">
        <w:rPr>
          <w:rFonts w:ascii="Times New Roman" w:hAnsi="Times New Roman"/>
          <w:sz w:val="20"/>
          <w:lang w:val="en-US" w:eastAsia="en-GB"/>
        </w:rPr>
        <w:t>Thales, CATT</w:t>
      </w:r>
    </w:p>
    <w:p w14:paraId="36F8E1FE" w14:textId="35180656" w:rsidR="00A6704E" w:rsidRPr="000C4A22" w:rsidRDefault="00844F84" w:rsidP="00117EAB">
      <w:pPr>
        <w:pStyle w:val="afd"/>
        <w:numPr>
          <w:ilvl w:val="0"/>
          <w:numId w:val="18"/>
        </w:numPr>
        <w:rPr>
          <w:rFonts w:ascii="Times New Roman" w:hAnsi="Times New Roman"/>
          <w:sz w:val="20"/>
          <w:lang w:val="en-US" w:eastAsia="en-GB"/>
        </w:rPr>
      </w:pPr>
      <w:r w:rsidRPr="00844F84">
        <w:rPr>
          <w:rFonts w:ascii="Times New Roman" w:hAnsi="Times New Roman"/>
          <w:sz w:val="20"/>
          <w:lang w:val="en-US" w:eastAsia="en-GB"/>
        </w:rPr>
        <w:t>Session notes for 9.11 Non-Terrestrial Networks (NTN) for NR Phase 3, Internet of Things (IoT) Phase 3, and IoT-NTN TDD mode</w:t>
      </w:r>
      <w:r>
        <w:rPr>
          <w:rFonts w:ascii="Times New Roman" w:hAnsi="Times New Roman"/>
          <w:sz w:val="20"/>
          <w:lang w:val="en-US" w:eastAsia="en-GB"/>
        </w:rPr>
        <w:t xml:space="preserve">, </w:t>
      </w:r>
      <w:r w:rsidRPr="00844F84">
        <w:rPr>
          <w:rFonts w:ascii="Times New Roman" w:hAnsi="Times New Roman"/>
          <w:sz w:val="20"/>
          <w:lang w:val="en-US" w:eastAsia="en-GB"/>
        </w:rPr>
        <w:t>Ad-Hoc Chair (Huawei)</w:t>
      </w:r>
      <w:r>
        <w:rPr>
          <w:rFonts w:ascii="Times New Roman" w:hAnsi="Times New Roman"/>
          <w:sz w:val="20"/>
          <w:lang w:val="en-US" w:eastAsia="en-GB"/>
        </w:rPr>
        <w:t>, RAN1#119</w:t>
      </w:r>
    </w:p>
    <w:sectPr w:rsidR="00A6704E" w:rsidRPr="000C4A22"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9CF72" w14:textId="77777777" w:rsidR="00FE49C4" w:rsidRDefault="00FE49C4" w:rsidP="00796430">
      <w:r>
        <w:separator/>
      </w:r>
    </w:p>
  </w:endnote>
  <w:endnote w:type="continuationSeparator" w:id="0">
    <w:p w14:paraId="406352DF" w14:textId="77777777" w:rsidR="00FE49C4" w:rsidRDefault="00FE49C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96AA" w14:textId="77777777" w:rsidR="00FE49C4" w:rsidRDefault="00FE49C4" w:rsidP="00796430">
      <w:r>
        <w:separator/>
      </w:r>
    </w:p>
  </w:footnote>
  <w:footnote w:type="continuationSeparator" w:id="0">
    <w:p w14:paraId="2D3049CC" w14:textId="77777777" w:rsidR="00FE49C4" w:rsidRDefault="00FE49C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00424C"/>
    <w:multiLevelType w:val="hybridMultilevel"/>
    <w:tmpl w:val="1922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7E30194"/>
    <w:multiLevelType w:val="hybridMultilevel"/>
    <w:tmpl w:val="E1A4EA72"/>
    <w:lvl w:ilvl="0" w:tplc="0302D06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0"/>
  </w:num>
  <w:num w:numId="4">
    <w:abstractNumId w:val="7"/>
  </w:num>
  <w:num w:numId="5">
    <w:abstractNumId w:val="17"/>
  </w:num>
  <w:num w:numId="6">
    <w:abstractNumId w:val="8"/>
  </w:num>
  <w:num w:numId="7">
    <w:abstractNumId w:val="2"/>
  </w:num>
  <w:num w:numId="8">
    <w:abstractNumId w:val="14"/>
  </w:num>
  <w:num w:numId="9">
    <w:abstractNumId w:val="16"/>
    <w:lvlOverride w:ilvl="0">
      <w:startOverride w:val="1"/>
    </w:lvlOverride>
  </w:num>
  <w:num w:numId="10">
    <w:abstractNumId w:val="1"/>
  </w:num>
  <w:num w:numId="11">
    <w:abstractNumId w:val="12"/>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9"/>
  </w:num>
  <w:num w:numId="16">
    <w:abstractNumId w:val="18"/>
  </w:num>
  <w:num w:numId="17">
    <w:abstractNumId w:val="6"/>
  </w:num>
  <w:num w:numId="18">
    <w:abstractNumId w:val="4"/>
  </w:num>
  <w:num w:numId="19">
    <w:abstractNumId w:val="11"/>
  </w:num>
  <w:num w:numId="20">
    <w:abstractNumId w:val="21"/>
  </w:num>
  <w:num w:numId="21">
    <w:abstractNumId w:val="5"/>
  </w:num>
  <w:num w:numId="22">
    <w:abstractNumId w:val="19"/>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9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912"/>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2B"/>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4FE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6F"/>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8A"/>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17EAB"/>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8F"/>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73"/>
    <w:rsid w:val="0013618E"/>
    <w:rsid w:val="001364F2"/>
    <w:rsid w:val="00136864"/>
    <w:rsid w:val="00136899"/>
    <w:rsid w:val="001369F8"/>
    <w:rsid w:val="00136A05"/>
    <w:rsid w:val="00137793"/>
    <w:rsid w:val="001378A4"/>
    <w:rsid w:val="00137972"/>
    <w:rsid w:val="001379AA"/>
    <w:rsid w:val="00137E34"/>
    <w:rsid w:val="001401CE"/>
    <w:rsid w:val="001401EE"/>
    <w:rsid w:val="00140344"/>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4B3"/>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7FD"/>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6F02"/>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8D8"/>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D7"/>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7D3"/>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22F"/>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1E25"/>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04"/>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D86"/>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BFF"/>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086"/>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4ED5"/>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12"/>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579"/>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F86"/>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5F2"/>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ED"/>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3FF"/>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74A"/>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DA0"/>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16A"/>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422"/>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14"/>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14B"/>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53"/>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4F84"/>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09"/>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1F3"/>
    <w:rsid w:val="0098032B"/>
    <w:rsid w:val="0098056F"/>
    <w:rsid w:val="00980E50"/>
    <w:rsid w:val="0098124C"/>
    <w:rsid w:val="00981621"/>
    <w:rsid w:val="00981A3B"/>
    <w:rsid w:val="00981C78"/>
    <w:rsid w:val="00981D28"/>
    <w:rsid w:val="00981D70"/>
    <w:rsid w:val="00981E3A"/>
    <w:rsid w:val="00982251"/>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B3"/>
    <w:rsid w:val="00A66FF8"/>
    <w:rsid w:val="00A6704E"/>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9A"/>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438"/>
    <w:rsid w:val="00AF4843"/>
    <w:rsid w:val="00AF4CEF"/>
    <w:rsid w:val="00AF5246"/>
    <w:rsid w:val="00AF5668"/>
    <w:rsid w:val="00AF5E63"/>
    <w:rsid w:val="00AF5ED6"/>
    <w:rsid w:val="00AF5FE2"/>
    <w:rsid w:val="00AF61DB"/>
    <w:rsid w:val="00AF645C"/>
    <w:rsid w:val="00AF64A7"/>
    <w:rsid w:val="00AF6C12"/>
    <w:rsid w:val="00AF6D9D"/>
    <w:rsid w:val="00AF6F5F"/>
    <w:rsid w:val="00AF73A7"/>
    <w:rsid w:val="00AF746E"/>
    <w:rsid w:val="00AF7B83"/>
    <w:rsid w:val="00AF7BBB"/>
    <w:rsid w:val="00AF7DC4"/>
    <w:rsid w:val="00AF7EAC"/>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022"/>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C99"/>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3FE4"/>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A86"/>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60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32"/>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06"/>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4F9"/>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612"/>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ABA"/>
    <w:rsid w:val="00E22BF9"/>
    <w:rsid w:val="00E23385"/>
    <w:rsid w:val="00E2343C"/>
    <w:rsid w:val="00E23484"/>
    <w:rsid w:val="00E234AC"/>
    <w:rsid w:val="00E238DD"/>
    <w:rsid w:val="00E23B3F"/>
    <w:rsid w:val="00E23C6C"/>
    <w:rsid w:val="00E2444D"/>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0C0"/>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43"/>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0EB"/>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CF0"/>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39A"/>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D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66F2"/>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C12"/>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9C4"/>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906"/>
    <w:rsid w:val="00FE7ADB"/>
    <w:rsid w:val="00FE7D08"/>
    <w:rsid w:val="00FE7D65"/>
    <w:rsid w:val="00FE7E09"/>
    <w:rsid w:val="00FF035A"/>
    <w:rsid w:val="00FF06B8"/>
    <w:rsid w:val="00FF0771"/>
    <w:rsid w:val="00FF08C2"/>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10C0"/>
    <w:rPr>
      <w:rFonts w:ascii="Times" w:eastAsia="Batang" w:hAnsi="Times"/>
      <w:szCs w:val="24"/>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uvudrubrik,Char"/>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rPr>
  </w:style>
  <w:style w:type="paragraph" w:customStyle="1" w:styleId="B3">
    <w:name w:val="B3"/>
    <w:basedOn w:val="32"/>
    <w:link w:val="B3Char"/>
    <w:qFormat/>
    <w:rPr>
      <w:lang w:val="x-none"/>
    </w:rPr>
  </w:style>
  <w:style w:type="paragraph" w:customStyle="1" w:styleId="B4">
    <w:name w:val="B4"/>
    <w:basedOn w:val="42"/>
    <w:link w:val="B4Char"/>
    <w:rPr>
      <w:lang w:val="x-none"/>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style>
  <w:style w:type="paragraph" w:customStyle="1" w:styleId="EX">
    <w:name w:val="EX"/>
    <w:basedOn w:val="a0"/>
    <w:pPr>
      <w:keepLines/>
      <w:ind w:left="1702" w:hanging="1418"/>
    </w:pPr>
  </w:style>
  <w:style w:type="paragraph" w:customStyle="1" w:styleId="EW">
    <w:name w:val="EW"/>
    <w:basedOn w:val="EX"/>
  </w:style>
  <w:style w:type="paragraph" w:customStyle="1" w:styleId="TAL">
    <w:name w:val="TAL"/>
    <w:basedOn w:val="a0"/>
    <w:link w:val="TALCar"/>
    <w:qFormat/>
    <w:pPr>
      <w:keepNext/>
      <w:keepLines/>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ind w:left="1622" w:hanging="363"/>
    </w:pPr>
    <w:rPr>
      <w:rFonts w:eastAsia="MS Mincho"/>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w:hAnsi="Times"/>
      <w:b/>
      <w:bCs/>
      <w:szCs w:val="24"/>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ind w:left="720"/>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spacing w:before="40"/>
    </w:pPr>
    <w:rPr>
      <w:rFonts w:eastAsia="MS Mincho"/>
      <w:i/>
      <w:noProof/>
      <w:sz w:val="18"/>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pPr>
    <w:rPr>
      <w:lang w:val="x-none" w:eastAsia="x-none"/>
    </w:rPr>
  </w:style>
  <w:style w:type="paragraph" w:customStyle="1" w:styleId="Recommend-2">
    <w:name w:val="Recommend-2"/>
    <w:basedOn w:val="a0"/>
    <w:qFormat/>
    <w:rsid w:val="00355920"/>
    <w:pPr>
      <w:numPr>
        <w:ilvl w:val="1"/>
        <w:numId w:val="11"/>
      </w:numPr>
    </w:pPr>
    <w:rPr>
      <w:lang w:eastAsia="x-none"/>
    </w:rPr>
  </w:style>
  <w:style w:type="character" w:customStyle="1" w:styleId="Recommend-1Char">
    <w:name w:val="Recommend-1 Char"/>
    <w:link w:val="Recommend-1"/>
    <w:rsid w:val="00355920"/>
    <w:rPr>
      <w:rFonts w:ascii="Times" w:eastAsia="Batang" w:hAnsi="Times"/>
      <w:szCs w:val="24"/>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spacing w:before="60"/>
    </w:pPr>
    <w:rPr>
      <w:rFonts w:eastAsia="MS Mincho"/>
      <w: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style>
  <w:style w:type="paragraph" w:customStyle="1" w:styleId="aff2">
    <w:name w:val="表格题注"/>
    <w:basedOn w:val="a0"/>
    <w:rsid w:val="00E03D28"/>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spacing w:before="40"/>
    </w:pPr>
    <w:rPr>
      <w:rFonts w:eastAsia="MS Mincho"/>
      <w:b/>
    </w:rPr>
  </w:style>
  <w:style w:type="character" w:customStyle="1" w:styleId="EmailDiscussionChar">
    <w:name w:val="EmailDiscussion Char"/>
    <w:link w:val="EmailDiscussion"/>
    <w:qFormat/>
    <w:rsid w:val="002F4F33"/>
    <w:rPr>
      <w:rFonts w:ascii="Times" w:eastAsia="MS Mincho" w:hAnsi="Times"/>
      <w:b/>
      <w:szCs w:val="24"/>
      <w:lang w:val="en-GB" w:eastAsia="en-US"/>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snapToGrid w:val="0"/>
      <w:spacing w:after="60"/>
    </w:pPr>
    <w:rPr>
      <w:szCs w:val="16"/>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spacing w:before="100" w:beforeAutospacing="1" w:after="100" w:afterAutospacing="1"/>
    </w:pPr>
    <w:rPr>
      <w:rFonts w:ascii="宋体" w:hAnsi="宋体" w:cs="宋体"/>
      <w:sz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snapToGrid w:val="0"/>
    </w:pPr>
    <w:rPr>
      <w:sz w:val="22"/>
      <w:szCs w:val="22"/>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ind w:left="1560" w:hanging="1134"/>
    </w:pPr>
    <w:rPr>
      <w:rFonts w:eastAsia="宋体"/>
      <w:b/>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7238106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1474136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0044851">
      <w:bodyDiv w:val="1"/>
      <w:marLeft w:val="0"/>
      <w:marRight w:val="0"/>
      <w:marTop w:val="0"/>
      <w:marBottom w:val="0"/>
      <w:divBdr>
        <w:top w:val="none" w:sz="0" w:space="0" w:color="auto"/>
        <w:left w:val="none" w:sz="0" w:space="0" w:color="auto"/>
        <w:bottom w:val="none" w:sz="0" w:space="0" w:color="auto"/>
        <w:right w:val="none" w:sz="0" w:space="0" w:color="auto"/>
      </w:divBdr>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998736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1557054">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4494006">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95686-5069-4D51-B092-5F54947E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TotalTime>
  <Pages>2</Pages>
  <Words>1009</Words>
  <Characters>5756</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13</cp:revision>
  <cp:lastPrinted>2016-09-19T04:11:00Z</cp:lastPrinted>
  <dcterms:created xsi:type="dcterms:W3CDTF">2025-01-16T06:51:00Z</dcterms:created>
  <dcterms:modified xsi:type="dcterms:W3CDTF">2025-02-06T09:39:00Z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y fmtid="{D5CDD505-2E9C-101B-9397-08002B2CF9AE}" pid="33" name="KeyAssetLabel_HuaWei">
    <vt:lpwstr>{Ys1yDUuaPCijmwFsQb9Sry0Px6zIGZ}</vt:lpwstr>
  </property>
</Properties>
</file>